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4592"/>
      </w:tblGrid>
      <w:tr w:rsidR="00260026" w:rsidRPr="00440DFF" w:rsidTr="009F1E1A">
        <w:trPr>
          <w:trHeight w:val="1410"/>
        </w:trPr>
        <w:tc>
          <w:tcPr>
            <w:tcW w:w="2469" w:type="pct"/>
          </w:tcPr>
          <w:p w:rsidR="00260026" w:rsidRPr="00440DFF" w:rsidRDefault="00260026" w:rsidP="009F1E1A">
            <w:pPr>
              <w:pStyle w:val="En-tte"/>
              <w:spacing w:after="240"/>
              <w:jc w:val="center"/>
              <w:rPr>
                <w:rFonts w:ascii="Times" w:hAnsi="Times"/>
                <w:b/>
                <w:sz w:val="28"/>
                <w:szCs w:val="28"/>
              </w:rPr>
            </w:pPr>
            <w:r w:rsidRPr="00440DFF">
              <w:rPr>
                <w:rFonts w:ascii="Times" w:hAnsi="Times" w:cs="Calibri"/>
                <w:b/>
                <w:noProof/>
              </w:rPr>
              <w:drawing>
                <wp:inline distT="0" distB="0" distL="0" distR="0" wp14:anchorId="2345F01B" wp14:editId="4D190EC1">
                  <wp:extent cx="1127263" cy="1127263"/>
                  <wp:effectExtent l="0" t="0" r="0" b="0"/>
                  <wp:docPr id="3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370" cy="112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1" w:type="pct"/>
          </w:tcPr>
          <w:p w:rsidR="00260026" w:rsidRPr="00440DFF" w:rsidRDefault="00260026" w:rsidP="009F1E1A">
            <w:pPr>
              <w:spacing w:after="240"/>
              <w:jc w:val="center"/>
              <w:rPr>
                <w:rFonts w:ascii="Times" w:hAnsi="Times"/>
                <w:i/>
              </w:rPr>
            </w:pPr>
            <w:r w:rsidRPr="00440DFF">
              <w:rPr>
                <w:rFonts w:ascii="Times" w:hAnsi="Times" w:cs="Calibri"/>
                <w:b/>
                <w:noProof/>
                <w:lang w:eastAsia="fr-FR"/>
              </w:rPr>
              <w:drawing>
                <wp:inline distT="0" distB="0" distL="0" distR="0" wp14:anchorId="5557DEE0" wp14:editId="270E0C45">
                  <wp:extent cx="1163477" cy="1163477"/>
                  <wp:effectExtent l="0" t="0" r="5080" b="5080"/>
                  <wp:docPr id="3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57" cy="116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0026" w:rsidRDefault="00260026" w:rsidP="00260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026" w:rsidRPr="00260026" w:rsidRDefault="00260026" w:rsidP="00260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26">
        <w:rPr>
          <w:rFonts w:ascii="Times New Roman" w:hAnsi="Times New Roman" w:cs="Times New Roman"/>
          <w:b/>
          <w:sz w:val="28"/>
          <w:szCs w:val="28"/>
        </w:rPr>
        <w:t>CONCOURS DE PROCÈS SIMULÉ EN</w:t>
      </w:r>
    </w:p>
    <w:p w:rsidR="00260026" w:rsidRPr="00260026" w:rsidRDefault="00260026" w:rsidP="00260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26">
        <w:rPr>
          <w:rFonts w:ascii="Times New Roman" w:hAnsi="Times New Roman" w:cs="Times New Roman"/>
          <w:b/>
          <w:sz w:val="28"/>
          <w:szCs w:val="28"/>
        </w:rPr>
        <w:t>DROIT INTERNATIONAL</w:t>
      </w:r>
    </w:p>
    <w:p w:rsidR="00260026" w:rsidRPr="00260026" w:rsidRDefault="00260026" w:rsidP="00260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26">
        <w:rPr>
          <w:rFonts w:ascii="Times New Roman" w:hAnsi="Times New Roman" w:cs="Times New Roman"/>
          <w:b/>
          <w:sz w:val="28"/>
          <w:szCs w:val="28"/>
        </w:rPr>
        <w:t>CHARLES-ROUSSEAU</w:t>
      </w:r>
    </w:p>
    <w:p w:rsidR="00260026" w:rsidRPr="00260026" w:rsidRDefault="005C2489" w:rsidP="00260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026" w:rsidRPr="00260026" w:rsidRDefault="00260026" w:rsidP="002600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60026">
        <w:rPr>
          <w:rFonts w:ascii="Times New Roman" w:hAnsi="Times New Roman" w:cs="Times New Roman"/>
          <w:i/>
        </w:rPr>
        <w:t>Une activité du Réseau francophone de droit international (RFDI)</w:t>
      </w:r>
    </w:p>
    <w:p w:rsid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026" w:rsidRPr="00260026" w:rsidRDefault="00260026" w:rsidP="002600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026">
        <w:rPr>
          <w:rFonts w:ascii="Times New Roman" w:hAnsi="Times New Roman" w:cs="Times New Roman"/>
          <w:b/>
          <w:sz w:val="28"/>
          <w:szCs w:val="28"/>
        </w:rPr>
        <w:t>BOURSES « BONNEFOUS »</w:t>
      </w:r>
    </w:p>
    <w:p w:rsid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026">
        <w:rPr>
          <w:rFonts w:ascii="Times New Roman" w:hAnsi="Times New Roman" w:cs="Times New Roman"/>
        </w:rPr>
        <w:t>En 2014, le Réseau francophone de droit international a reçu le prix Bonnefous, décerné par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 xml:space="preserve">l’Académie des sciences morales et politiques (Institut de France). </w:t>
      </w:r>
      <w:r>
        <w:rPr>
          <w:rFonts w:ascii="Times New Roman" w:hAnsi="Times New Roman" w:cs="Times New Roman"/>
        </w:rPr>
        <w:t xml:space="preserve">Ce prix est destiné à favoriser </w:t>
      </w:r>
      <w:r w:rsidRPr="00260026">
        <w:rPr>
          <w:rFonts w:ascii="Times New Roman" w:hAnsi="Times New Roman" w:cs="Times New Roman"/>
        </w:rPr>
        <w:t>le développement de la francophonie à travers le Concours Charles-Rousseau. A cette fin, le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>RFDI propose des bourses « Bonnefous » selon les modalités suivantes :</w:t>
      </w:r>
    </w:p>
    <w:p w:rsidR="00260026" w:rsidRP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026">
        <w:rPr>
          <w:rFonts w:ascii="Times New Roman" w:hAnsi="Times New Roman" w:cs="Times New Roman"/>
        </w:rPr>
        <w:t>Vu l’article 3 du Règlement du Concours Charles-Rousseau selon lequel :</w:t>
      </w:r>
    </w:p>
    <w:p w:rsidR="00260026" w:rsidRP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026" w:rsidRPr="00260026" w:rsidRDefault="00260026" w:rsidP="0026002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60026">
        <w:rPr>
          <w:rFonts w:ascii="Times New Roman" w:hAnsi="Times New Roman" w:cs="Times New Roman"/>
        </w:rPr>
        <w:t>(5) Les équipes de pays du Sud ou d’Europe centrale et orientale pourront bénéficier d’une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>prise en charge partielle de leurs frais de participation selon des modalités déterminées par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>le Bureau.</w:t>
      </w:r>
    </w:p>
    <w:p w:rsidR="00260026" w:rsidRPr="00260026" w:rsidRDefault="00260026" w:rsidP="0026002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60026">
        <w:rPr>
          <w:rFonts w:ascii="Times New Roman" w:hAnsi="Times New Roman" w:cs="Times New Roman"/>
        </w:rPr>
        <w:t>Dans le but de financer le plus grand nombre d’équipes possi</w:t>
      </w:r>
      <w:r>
        <w:rPr>
          <w:rFonts w:ascii="Times New Roman" w:hAnsi="Times New Roman" w:cs="Times New Roman"/>
        </w:rPr>
        <w:t xml:space="preserve">ble et dans un souci de gestion </w:t>
      </w:r>
      <w:r w:rsidRPr="00260026">
        <w:rPr>
          <w:rFonts w:ascii="Times New Roman" w:hAnsi="Times New Roman" w:cs="Times New Roman"/>
        </w:rPr>
        <w:t>rationnelle des fonds, le RFDI accordera une prise en charge aux seules équipes répondant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>aux conditions suivantes :</w:t>
      </w:r>
    </w:p>
    <w:p w:rsidR="00260026" w:rsidRPr="00260026" w:rsidRDefault="00260026" w:rsidP="002600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0026">
        <w:rPr>
          <w:rFonts w:ascii="Times New Roman" w:hAnsi="Times New Roman" w:cs="Times New Roman"/>
        </w:rPr>
        <w:t>a) L’équipe qui présente la demande n’a pas de dette envers le RFDI ;</w:t>
      </w:r>
    </w:p>
    <w:p w:rsidR="00260026" w:rsidRPr="00260026" w:rsidRDefault="00260026" w:rsidP="0026002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60026">
        <w:rPr>
          <w:rFonts w:ascii="Times New Roman" w:hAnsi="Times New Roman" w:cs="Times New Roman"/>
        </w:rPr>
        <w:t>b) Les droits d’inscription ont été acquittés dans le délai imparti, sans préjudice d’une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>permission accordée au titre du paragraphe 4 du présent article ;</w:t>
      </w:r>
    </w:p>
    <w:p w:rsidR="00260026" w:rsidRPr="00260026" w:rsidRDefault="00260026" w:rsidP="0026002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60026">
        <w:rPr>
          <w:rFonts w:ascii="Times New Roman" w:hAnsi="Times New Roman" w:cs="Times New Roman"/>
        </w:rPr>
        <w:t>c) L'équipe a envoyé une version préliminaire de ses deux mémoires dans le délai fixé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>à l'annexe 1 et le Comité d'évaluation a jugé que leur niveau était suffisant au sens du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>paragraphe 11 de l'article 5 du présent Règlement.</w:t>
      </w:r>
    </w:p>
    <w:p w:rsid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026" w:rsidRP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026">
        <w:rPr>
          <w:rFonts w:ascii="Times New Roman" w:hAnsi="Times New Roman" w:cs="Times New Roman"/>
        </w:rPr>
        <w:t>Le Bureau décide :</w:t>
      </w:r>
    </w:p>
    <w:p w:rsid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026" w:rsidRP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026">
        <w:rPr>
          <w:rFonts w:ascii="Times New Roman" w:hAnsi="Times New Roman" w:cs="Times New Roman"/>
        </w:rPr>
        <w:t>Sont éligibles à une bourse « Bonnefous » de 1000 euros les équipes des pays du Sud et de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>l’Europe centrale et orientale s’étant acquitté de leurs droits d’i</w:t>
      </w:r>
      <w:r>
        <w:rPr>
          <w:rFonts w:ascii="Times New Roman" w:hAnsi="Times New Roman" w:cs="Times New Roman"/>
        </w:rPr>
        <w:t xml:space="preserve">nscription ou bénéficiant d’une </w:t>
      </w:r>
      <w:r w:rsidRPr="00260026">
        <w:rPr>
          <w:rFonts w:ascii="Times New Roman" w:hAnsi="Times New Roman" w:cs="Times New Roman"/>
        </w:rPr>
        <w:t xml:space="preserve">dérogation conformément à l’article 3(4) du règlement </w:t>
      </w:r>
      <w:r>
        <w:rPr>
          <w:rFonts w:ascii="Times New Roman" w:hAnsi="Times New Roman" w:cs="Times New Roman"/>
        </w:rPr>
        <w:t xml:space="preserve">du Concours. Un maximum de </w:t>
      </w:r>
      <w:r w:rsidR="00F33A37">
        <w:rPr>
          <w:rFonts w:ascii="Times New Roman" w:hAnsi="Times New Roman" w:cs="Times New Roman"/>
        </w:rPr>
        <w:t>trois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>bourses sera octroyé.</w:t>
      </w:r>
    </w:p>
    <w:p w:rsid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026">
        <w:rPr>
          <w:rFonts w:ascii="Times New Roman" w:hAnsi="Times New Roman" w:cs="Times New Roman"/>
        </w:rPr>
        <w:t xml:space="preserve">Pour être éligible, la demande doit être accompagnée des deux mémoires préliminaires 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>comportant au moins 15 pages de texte chacun et comporta</w:t>
      </w:r>
      <w:r>
        <w:rPr>
          <w:rFonts w:ascii="Times New Roman" w:hAnsi="Times New Roman" w:cs="Times New Roman"/>
        </w:rPr>
        <w:t xml:space="preserve">nt les principaux arguments qui </w:t>
      </w:r>
      <w:r w:rsidRPr="00260026">
        <w:rPr>
          <w:rFonts w:ascii="Times New Roman" w:hAnsi="Times New Roman" w:cs="Times New Roman"/>
        </w:rPr>
        <w:t>figureront dans le mémoire final ainsi qu’une bibliographie détail</w:t>
      </w:r>
      <w:r>
        <w:rPr>
          <w:rFonts w:ascii="Times New Roman" w:hAnsi="Times New Roman" w:cs="Times New Roman"/>
        </w:rPr>
        <w:t xml:space="preserve">lée, d’une lettre de motivation </w:t>
      </w:r>
      <w:r w:rsidRPr="00260026">
        <w:rPr>
          <w:rFonts w:ascii="Times New Roman" w:hAnsi="Times New Roman" w:cs="Times New Roman"/>
        </w:rPr>
        <w:t>signée des membres de l’équipe et d’un dossier de financement faisant état des démarches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 xml:space="preserve">entreprises pour payer les frais de déplacement (joindre les éventuels devis obtenus). </w:t>
      </w:r>
    </w:p>
    <w:p w:rsid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026" w:rsidRP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026">
        <w:rPr>
          <w:rFonts w:ascii="Times New Roman" w:hAnsi="Times New Roman" w:cs="Times New Roman"/>
        </w:rPr>
        <w:t>Le dossier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>de candidature doit également inclure une lettre d’appui de l’Université signée par une personne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 xml:space="preserve">en autorité (doyen ou directeur de département), faisant mention des coordonnées bancaires </w:t>
      </w:r>
      <w:r w:rsidRPr="00260026">
        <w:rPr>
          <w:rFonts w:ascii="Times New Roman" w:hAnsi="Times New Roman" w:cs="Times New Roman"/>
        </w:rPr>
        <w:lastRenderedPageBreak/>
        <w:t>du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>compte sur lequel le virement correspondant à la bourse serait eff</w:t>
      </w:r>
      <w:r>
        <w:rPr>
          <w:rFonts w:ascii="Times New Roman" w:hAnsi="Times New Roman" w:cs="Times New Roman"/>
        </w:rPr>
        <w:t xml:space="preserve">ectué dans le cas d’une réponse </w:t>
      </w:r>
      <w:r w:rsidRPr="00260026">
        <w:rPr>
          <w:rFonts w:ascii="Times New Roman" w:hAnsi="Times New Roman" w:cs="Times New Roman"/>
        </w:rPr>
        <w:t>positive.</w:t>
      </w:r>
    </w:p>
    <w:p w:rsid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026">
        <w:rPr>
          <w:rFonts w:ascii="Times New Roman" w:hAnsi="Times New Roman" w:cs="Times New Roman"/>
        </w:rPr>
        <w:t xml:space="preserve">Les demandes seront appréciées par le Bureau du RFDI eu égard </w:t>
      </w:r>
      <w:r>
        <w:rPr>
          <w:rFonts w:ascii="Times New Roman" w:hAnsi="Times New Roman" w:cs="Times New Roman"/>
        </w:rPr>
        <w:t xml:space="preserve">à la qualité des mémoires ainsi </w:t>
      </w:r>
      <w:r w:rsidRPr="00260026">
        <w:rPr>
          <w:rFonts w:ascii="Times New Roman" w:hAnsi="Times New Roman" w:cs="Times New Roman"/>
        </w:rPr>
        <w:t>que du dossier présenté. Subsidiairement, les besoins de l’équipe pourront être pris en compte.</w:t>
      </w:r>
    </w:p>
    <w:p w:rsidR="00260026" w:rsidRP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026" w:rsidRP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0026">
        <w:rPr>
          <w:rFonts w:ascii="Times New Roman" w:hAnsi="Times New Roman" w:cs="Times New Roman"/>
        </w:rPr>
        <w:t>Dans l’éventualité où une équipe boursière ne participerait pa</w:t>
      </w:r>
      <w:r>
        <w:rPr>
          <w:rFonts w:ascii="Times New Roman" w:hAnsi="Times New Roman" w:cs="Times New Roman"/>
        </w:rPr>
        <w:t xml:space="preserve">s au Concours Charles-Rousseau, </w:t>
      </w:r>
      <w:r w:rsidRPr="00260026">
        <w:rPr>
          <w:rFonts w:ascii="Times New Roman" w:hAnsi="Times New Roman" w:cs="Times New Roman"/>
        </w:rPr>
        <w:t>quel que soit le motif de sa non-participation, la bourse devra être remboursée d</w:t>
      </w:r>
      <w:bookmarkStart w:id="0" w:name="_GoBack"/>
      <w:bookmarkEnd w:id="0"/>
      <w:r w:rsidRPr="00260026">
        <w:rPr>
          <w:rFonts w:ascii="Times New Roman" w:hAnsi="Times New Roman" w:cs="Times New Roman"/>
        </w:rPr>
        <w:t>ans son intégralité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>au Réseau francophone de droit international. Une équipe est réputée participer au concours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>Charles-Rousseau si au moins deux membres plaideurs sont présents à la date du début des</w:t>
      </w:r>
      <w:r>
        <w:rPr>
          <w:rFonts w:ascii="Times New Roman" w:hAnsi="Times New Roman" w:cs="Times New Roman"/>
        </w:rPr>
        <w:t xml:space="preserve"> </w:t>
      </w:r>
      <w:r w:rsidRPr="00260026">
        <w:rPr>
          <w:rFonts w:ascii="Times New Roman" w:hAnsi="Times New Roman" w:cs="Times New Roman"/>
        </w:rPr>
        <w:t>plaidoiries éliminatoires, et le demeurent jusqu’à la fin des épreuves de demi-finales.</w:t>
      </w:r>
    </w:p>
    <w:p w:rsidR="00260026" w:rsidRDefault="00260026" w:rsidP="002600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A0B" w:rsidRPr="00260026" w:rsidRDefault="00260026" w:rsidP="006777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60026">
        <w:rPr>
          <w:rFonts w:ascii="Times New Roman" w:hAnsi="Times New Roman" w:cs="Times New Roman"/>
        </w:rPr>
        <w:t>Le Bureau du RFDI</w:t>
      </w:r>
    </w:p>
    <w:sectPr w:rsidR="00A05A0B" w:rsidRPr="00260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26"/>
    <w:rsid w:val="00260026"/>
    <w:rsid w:val="002B02FE"/>
    <w:rsid w:val="005C2489"/>
    <w:rsid w:val="00677793"/>
    <w:rsid w:val="007202E9"/>
    <w:rsid w:val="00AB36AD"/>
    <w:rsid w:val="00C60E94"/>
    <w:rsid w:val="00F3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002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6002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002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6002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Valère</dc:creator>
  <cp:lastModifiedBy>Valère</cp:lastModifiedBy>
  <cp:revision>3</cp:revision>
  <cp:lastPrinted>2016-11-25T14:38:00Z</cp:lastPrinted>
  <dcterms:created xsi:type="dcterms:W3CDTF">2018-12-11T15:17:00Z</dcterms:created>
  <dcterms:modified xsi:type="dcterms:W3CDTF">2018-12-11T15:21:00Z</dcterms:modified>
</cp:coreProperties>
</file>